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8373"/>
      </w:tblGrid>
      <w:tr w:rsidR="000426C1" w14:paraId="564416D7" w14:textId="77777777">
        <w:tc>
          <w:tcPr>
            <w:tcW w:w="9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0140" w14:textId="77777777" w:rsidR="000426C1" w:rsidRDefault="0044614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ANNUAL GENERAL MEETING OF PAUL’S PLACE (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SOUTH WEST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7983A985" w14:textId="77777777" w:rsidR="000426C1" w:rsidRDefault="00446148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HELD ON FRIDAY 5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AUGUST 2022 AT 2PM</w:t>
            </w:r>
          </w:p>
          <w:p w14:paraId="4B0B5923" w14:textId="77777777" w:rsidR="000426C1" w:rsidRDefault="0044614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 COALPIT HEATH CRICKET CLUB WITH THE OPTION OF ZOOM</w:t>
            </w:r>
          </w:p>
          <w:p w14:paraId="0D677D71" w14:textId="77777777" w:rsidR="000426C1" w:rsidRDefault="000426C1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26C1" w14:paraId="4E2B4A14" w14:textId="77777777">
        <w:tc>
          <w:tcPr>
            <w:tcW w:w="9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1831" w14:textId="10801F49" w:rsidR="000426C1" w:rsidRDefault="00446148">
            <w:pPr>
              <w:pStyle w:val="Standard"/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Trustees/Directors of Paul’s Place (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South West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) present: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Steve Howells (SH) - Chair, Jill Jefferies, Nicole Beebee, Gill Sutcliffe, Jane Hill, </w:t>
            </w:r>
            <w:r w:rsidR="00F83283">
              <w:rPr>
                <w:rFonts w:ascii="Arial" w:hAnsi="Arial" w:cs="Arial"/>
                <w:bCs/>
                <w:sz w:val="24"/>
                <w:szCs w:val="24"/>
              </w:rPr>
              <w:t xml:space="preserve">Richard Fackrell (v)  </w:t>
            </w:r>
          </w:p>
          <w:p w14:paraId="1605BA5D" w14:textId="77777777" w:rsidR="000426C1" w:rsidRDefault="000426C1">
            <w:pPr>
              <w:pStyle w:val="Standard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74CB3BDA" w14:textId="77777777" w:rsidR="000426C1" w:rsidRDefault="00446148">
            <w:pPr>
              <w:pStyle w:val="Standard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Also in attendance:</w:t>
            </w:r>
          </w:p>
          <w:p w14:paraId="33C411A2" w14:textId="77777777" w:rsidR="000426C1" w:rsidRDefault="000426C1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E53C03" w14:textId="77777777" w:rsidR="000426C1" w:rsidRDefault="00446148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Daniel Cheesman (CEO)</w:t>
            </w:r>
          </w:p>
          <w:p w14:paraId="0C3BEF7F" w14:textId="77777777" w:rsidR="000426C1" w:rsidRDefault="000426C1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5F9BA6" w14:textId="3D977693" w:rsidR="000426C1" w:rsidRDefault="00446148">
            <w:pPr>
              <w:pStyle w:val="Standard"/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Director/Trustee Apologies: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Nazeem Haroon, Kate Francis</w:t>
            </w:r>
          </w:p>
          <w:p w14:paraId="58E31834" w14:textId="77777777" w:rsidR="000426C1" w:rsidRDefault="000426C1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24681F" w14:textId="162B931A" w:rsidR="000426C1" w:rsidRDefault="00446148">
            <w:pPr>
              <w:pStyle w:val="Standard"/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In Attendance: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2889">
              <w:rPr>
                <w:rFonts w:ascii="Arial" w:hAnsi="Arial" w:cs="Arial"/>
                <w:bCs/>
                <w:sz w:val="24"/>
                <w:szCs w:val="24"/>
              </w:rPr>
              <w:t xml:space="preserve">A total </w:t>
            </w:r>
            <w:r w:rsidRPr="00FE1E17">
              <w:rPr>
                <w:rFonts w:ascii="Arial" w:hAnsi="Arial" w:cs="Arial"/>
                <w:bCs/>
                <w:sz w:val="24"/>
                <w:szCs w:val="24"/>
              </w:rPr>
              <w:t>of</w:t>
            </w:r>
            <w:r w:rsidR="00983AD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5C41">
              <w:rPr>
                <w:rFonts w:ascii="Arial" w:hAnsi="Arial" w:cs="Arial"/>
                <w:bCs/>
                <w:sz w:val="24"/>
                <w:szCs w:val="24"/>
              </w:rPr>
              <w:t>42</w:t>
            </w:r>
            <w:r w:rsidR="00983AD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238F4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DD7B6D">
              <w:rPr>
                <w:rFonts w:ascii="Arial" w:hAnsi="Arial" w:cs="Arial"/>
                <w:bCs/>
                <w:sz w:val="24"/>
                <w:szCs w:val="24"/>
              </w:rPr>
              <w:t>eople</w:t>
            </w:r>
            <w:r w:rsidRPr="000B2889">
              <w:rPr>
                <w:rFonts w:ascii="Arial" w:hAnsi="Arial" w:cs="Arial"/>
                <w:bCs/>
                <w:sz w:val="24"/>
                <w:szCs w:val="24"/>
              </w:rPr>
              <w:t xml:space="preserve"> attended the meeting, including 6 Directors/Trustees and </w:t>
            </w:r>
            <w:r w:rsidR="00983AD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83283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0B2889">
              <w:rPr>
                <w:rFonts w:ascii="Arial" w:hAnsi="Arial" w:cs="Arial"/>
                <w:bCs/>
                <w:sz w:val="24"/>
                <w:szCs w:val="24"/>
              </w:rPr>
              <w:t xml:space="preserve"> Charity m</w:t>
            </w:r>
            <w:r w:rsidRPr="00E11E0E">
              <w:rPr>
                <w:rFonts w:ascii="Arial" w:hAnsi="Arial" w:cs="Arial"/>
                <w:bCs/>
                <w:sz w:val="24"/>
                <w:szCs w:val="24"/>
              </w:rPr>
              <w:t>embers (able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to vote).</w:t>
            </w:r>
          </w:p>
          <w:p w14:paraId="5EBB2FF2" w14:textId="77777777" w:rsidR="000426C1" w:rsidRDefault="000426C1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C1" w14:paraId="30F0DBFB" w14:textId="77777777"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C212" w14:textId="77777777" w:rsidR="000426C1" w:rsidRDefault="000426C1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32074" w14:textId="77777777" w:rsidR="000426C1" w:rsidRDefault="0044614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</w:tr>
      <w:tr w:rsidR="000426C1" w14:paraId="0A9E9F82" w14:textId="77777777"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FDDC" w14:textId="77777777" w:rsidR="000426C1" w:rsidRDefault="00446148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8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93F3" w14:textId="77777777" w:rsidR="000426C1" w:rsidRDefault="00446148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Welcome and a minute to remember</w:t>
            </w:r>
          </w:p>
        </w:tc>
      </w:tr>
      <w:tr w:rsidR="000426C1" w14:paraId="5193261D" w14:textId="77777777"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E39F" w14:textId="77777777" w:rsidR="000426C1" w:rsidRDefault="000426C1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DF060" w14:textId="4CFF1CF2" w:rsidR="000426C1" w:rsidRDefault="0044614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Howells (SH) opened the meeting at 2pm, confirming that to be quorate 10 Charity Members or one tenth of Charity Members need to be attendance,</w:t>
            </w:r>
            <w:r w:rsidR="00983AD1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8 were present so the meeting could proceed.</w:t>
            </w:r>
          </w:p>
          <w:p w14:paraId="737B73C2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14C4FF" w14:textId="77777777" w:rsidR="000426C1" w:rsidRDefault="00446148">
            <w:pPr>
              <w:pStyle w:val="Standard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SH confirmed that this AGM covered the year ending 31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2022 and covers 12 months from 01 April 2021 to 31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2022.  </w:t>
            </w:r>
          </w:p>
          <w:p w14:paraId="51D65DA7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D3A28A" w14:textId="77777777" w:rsidR="000426C1" w:rsidRDefault="0044614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 asked the attendees to remember Margaret Marshall, Clifford Stock and Annie Powell who sadly passed away in the last year.</w:t>
            </w:r>
          </w:p>
          <w:p w14:paraId="7D0F5DEC" w14:textId="77777777" w:rsidR="000426C1" w:rsidRDefault="000426C1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C1" w14:paraId="18010C0F" w14:textId="77777777"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F849" w14:textId="77777777" w:rsidR="000426C1" w:rsidRDefault="00446148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2.0</w:t>
            </w:r>
          </w:p>
        </w:tc>
        <w:tc>
          <w:tcPr>
            <w:tcW w:w="8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C285" w14:textId="77777777" w:rsidR="000426C1" w:rsidRDefault="00446148">
            <w:pPr>
              <w:pStyle w:val="Standar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Apologies for Absence</w:t>
            </w:r>
          </w:p>
        </w:tc>
      </w:tr>
      <w:tr w:rsidR="000426C1" w14:paraId="225CE0D0" w14:textId="77777777"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6793" w14:textId="77777777" w:rsidR="000426C1" w:rsidRDefault="000426C1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6139" w14:textId="3F067E4E" w:rsidR="000426C1" w:rsidRDefault="0044614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Apologies received from three Trustees, Azeem Haroon, Richard Fackrell and Kate Francis.  </w:t>
            </w:r>
            <w:proofErr w:type="gramStart"/>
            <w:r w:rsidR="00AF6BC3">
              <w:rPr>
                <w:rFonts w:ascii="Arial" w:hAnsi="Arial" w:cs="Arial"/>
                <w:sz w:val="24"/>
                <w:szCs w:val="24"/>
              </w:rPr>
              <w:t>Also</w:t>
            </w:r>
            <w:proofErr w:type="gramEnd"/>
            <w:r w:rsidR="00AF6BC3">
              <w:rPr>
                <w:rFonts w:ascii="Arial" w:hAnsi="Arial" w:cs="Arial"/>
                <w:sz w:val="24"/>
                <w:szCs w:val="24"/>
              </w:rPr>
              <w:t xml:space="preserve"> from the acting CEO </w:t>
            </w:r>
            <w:r>
              <w:rPr>
                <w:rFonts w:ascii="Arial" w:hAnsi="Arial" w:cs="Arial"/>
                <w:sz w:val="24"/>
                <w:szCs w:val="24"/>
              </w:rPr>
              <w:t>Sarah Payne</w:t>
            </w:r>
          </w:p>
          <w:p w14:paraId="63A0940F" w14:textId="77777777" w:rsidR="000426C1" w:rsidRDefault="000426C1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C1" w14:paraId="05E01794" w14:textId="77777777"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94B7A" w14:textId="77777777" w:rsidR="000426C1" w:rsidRDefault="00446148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  <w:tc>
          <w:tcPr>
            <w:tcW w:w="8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5ED7" w14:textId="77777777" w:rsidR="000426C1" w:rsidRDefault="00446148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Draft Minutes of the Annual General Meeting held on 10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 2021.</w:t>
            </w:r>
          </w:p>
        </w:tc>
      </w:tr>
      <w:tr w:rsidR="000426C1" w14:paraId="28320ED9" w14:textId="77777777"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4875" w14:textId="77777777" w:rsidR="000426C1" w:rsidRDefault="000426C1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731D" w14:textId="77777777" w:rsidR="000426C1" w:rsidRDefault="0044614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 confirmed that minutes have been available on the notice board and via the website for the full 28 days prior to the AGM – nothing has been raised.</w:t>
            </w:r>
          </w:p>
          <w:p w14:paraId="02F20BBD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B8F554" w14:textId="2F21B3EE" w:rsidR="000426C1" w:rsidRDefault="0044614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</w:t>
            </w:r>
            <w:r w:rsidR="00123ED5"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>Jill J</w:t>
            </w:r>
            <w:r w:rsidR="00AF6BC3">
              <w:rPr>
                <w:rFonts w:ascii="Arial" w:hAnsi="Arial" w:cs="Arial"/>
                <w:sz w:val="24"/>
                <w:szCs w:val="24"/>
              </w:rPr>
              <w:t>efferies</w:t>
            </w:r>
          </w:p>
          <w:p w14:paraId="44A85CAD" w14:textId="5A4DBECC" w:rsidR="000426C1" w:rsidRDefault="0044614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Seconded</w:t>
            </w:r>
            <w:r w:rsidR="00123ED5"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>Nicole Beebee</w:t>
            </w:r>
          </w:p>
          <w:p w14:paraId="09F83C6E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A834C5" w14:textId="77777777" w:rsidR="000426C1" w:rsidRDefault="0044614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Agreed</w:t>
            </w:r>
          </w:p>
          <w:p w14:paraId="13330ACD" w14:textId="3B007C2A" w:rsidR="00AF6BC3" w:rsidRDefault="00AF6BC3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C1" w14:paraId="44EA1BC8" w14:textId="77777777"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7366" w14:textId="77777777" w:rsidR="000426C1" w:rsidRDefault="00446148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</w:t>
            </w:r>
          </w:p>
        </w:tc>
        <w:tc>
          <w:tcPr>
            <w:tcW w:w="8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DE5B" w14:textId="77777777" w:rsidR="000426C1" w:rsidRDefault="00446148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Matters Arising</w:t>
            </w:r>
          </w:p>
        </w:tc>
      </w:tr>
      <w:tr w:rsidR="000426C1" w14:paraId="01956A6C" w14:textId="77777777"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8F83" w14:textId="77777777" w:rsidR="000426C1" w:rsidRDefault="000426C1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75D8" w14:textId="40D93B97" w:rsidR="000426C1" w:rsidRDefault="0044614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matter</w:t>
            </w:r>
            <w:r w:rsidR="0079520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raised</w:t>
            </w:r>
          </w:p>
          <w:p w14:paraId="6C43D6D4" w14:textId="77777777" w:rsidR="000426C1" w:rsidRDefault="000426C1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C1" w14:paraId="3018E40B" w14:textId="77777777"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57D2" w14:textId="77777777" w:rsidR="000426C1" w:rsidRDefault="00446148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5.0</w:t>
            </w:r>
          </w:p>
        </w:tc>
        <w:tc>
          <w:tcPr>
            <w:tcW w:w="8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60208" w14:textId="77777777" w:rsidR="000426C1" w:rsidRDefault="00446148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CEO Report</w:t>
            </w:r>
          </w:p>
        </w:tc>
      </w:tr>
      <w:tr w:rsidR="000426C1" w14:paraId="0A69B9FE" w14:textId="77777777"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4C7E" w14:textId="77777777" w:rsidR="000426C1" w:rsidRDefault="000426C1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5716" w14:textId="77777777" w:rsidR="000426C1" w:rsidRDefault="00446148">
            <w:pPr>
              <w:pStyle w:val="Standard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A chance to look back on the year 2021/2022, a year in which a lot has happened.  We began the year delivering Paul's Place across split sites at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Turnberries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and Coalpit Heath and slowly, over the following 12 months, got back to normal.</w:t>
            </w:r>
          </w:p>
          <w:p w14:paraId="6EE9D49C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  <w:p w14:paraId="1B8E5AE9" w14:textId="77777777" w:rsidR="000426C1" w:rsidRDefault="00446148">
            <w:pPr>
              <w:pStyle w:val="Standard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It was a year that saw us adapt our offering in response to Covid, sort breaks changed to </w:t>
            </w:r>
            <w:proofErr w:type="gramStart"/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staycations</w:t>
            </w:r>
            <w:proofErr w:type="gramEnd"/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and we actively got outside more through our partnership with Yate Athletics Club.</w:t>
            </w:r>
          </w:p>
          <w:p w14:paraId="3F426866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  <w:p w14:paraId="71ABDD07" w14:textId="77777777" w:rsidR="000426C1" w:rsidRDefault="00446148">
            <w:pPr>
              <w:pStyle w:val="Standard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A continuing year of change but as we approached the end of the financial year in March 2022 we began to look and feel a little more like the pre-Covid Paul's Place even an improved model.</w:t>
            </w:r>
          </w:p>
          <w:p w14:paraId="694B5CC9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  <w:p w14:paraId="0B3385FB" w14:textId="0C4DB096" w:rsidR="000426C1" w:rsidRDefault="00446148">
            <w:pPr>
              <w:pStyle w:val="Standard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This year also marks the mid-point in our five</w:t>
            </w:r>
            <w:r w:rsidR="00357C5C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year strategy </w:t>
            </w:r>
            <w:r w:rsidR="00265446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this</w:t>
            </w:r>
            <w:r w:rsidR="007C628A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is the current position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14:paraId="52A7A46E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  <w:p w14:paraId="58108D85" w14:textId="7F4373E3" w:rsidR="000426C1" w:rsidRDefault="00446148">
            <w:pPr>
              <w:pStyle w:val="Standard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123ED5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Disability led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– ensuring service users are in the driving seat.  </w:t>
            </w:r>
            <w:r w:rsidR="0079520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An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Advisory </w:t>
            </w:r>
            <w:r w:rsidR="0079520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G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roup </w:t>
            </w:r>
            <w:r w:rsidR="0079520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has been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set up</w:t>
            </w:r>
            <w:r w:rsidR="0079520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and we have received a grant to train up members in being more actively involved in decision making. The C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ovid </w:t>
            </w:r>
            <w:r w:rsidR="0079520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V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oices </w:t>
            </w:r>
            <w:r w:rsidR="0079520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project will be extended to work with more members in the next year. There is a dedicated section on our website providing members to advice and support.</w:t>
            </w:r>
          </w:p>
          <w:p w14:paraId="0E120368" w14:textId="4363384E" w:rsidR="000426C1" w:rsidRDefault="00446148">
            <w:pPr>
              <w:pStyle w:val="Standard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123ED5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Needs led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– </w:t>
            </w:r>
            <w:r w:rsidR="007A436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We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want to continue to grow and develop services. </w:t>
            </w:r>
            <w:r w:rsidR="007A436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New projects include Paul’s Place at Home, inclusive </w:t>
            </w:r>
            <w:proofErr w:type="gramStart"/>
            <w:r w:rsidR="007A436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sports</w:t>
            </w:r>
            <w:proofErr w:type="gramEnd"/>
            <w:r w:rsidR="007A436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and music therapy.  A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sports co-ordinator</w:t>
            </w:r>
            <w:r w:rsidR="007A436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has been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put in place.  </w:t>
            </w:r>
            <w:r w:rsidR="007A436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Music therapy is provided through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UWE</w:t>
            </w:r>
            <w:r w:rsidR="00CC6BFC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.  We have talked to y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ounger disabled people </w:t>
            </w:r>
            <w:r w:rsidR="00CC6BFC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to see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what they would like</w:t>
            </w:r>
            <w:r w:rsidR="00CC6BFC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.  PP needs to k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eep bringing in young people. </w:t>
            </w:r>
            <w:r w:rsidR="00CC6BFC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The search for a new building continues.</w:t>
            </w:r>
          </w:p>
          <w:p w14:paraId="64196952" w14:textId="1B0D069F" w:rsidR="000426C1" w:rsidRDefault="00CC6BFC">
            <w:pPr>
              <w:pStyle w:val="Standard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We are actively working with others to provide support.  Partnership with Yate Athletics club </w:t>
            </w:r>
            <w:proofErr w:type="gramStart"/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and also</w:t>
            </w:r>
            <w:proofErr w:type="gramEnd"/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SG disability network (DEN). Boccia – promoting this at an international level.  </w:t>
            </w:r>
          </w:p>
          <w:p w14:paraId="3DEA6600" w14:textId="799ECA36" w:rsidR="000426C1" w:rsidRDefault="00446148">
            <w:pPr>
              <w:pStyle w:val="Standard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123ED5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Thinking about the future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– </w:t>
            </w:r>
            <w:r w:rsidR="00951FE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Finding ways to t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ell our story in a different way to secure our future.  Rebranded the charity, new logo and new website have helped.  </w:t>
            </w:r>
            <w:r w:rsidR="00951FE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ew contract</w:t>
            </w:r>
            <w:r w:rsidR="00951FE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with</w:t>
            </w:r>
            <w:r w:rsidR="00951FE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health and social care commissioners will support our sustainability.</w:t>
            </w:r>
          </w:p>
          <w:p w14:paraId="6457E776" w14:textId="257C3F9B" w:rsidR="000426C1" w:rsidRDefault="00951FEB">
            <w:pPr>
              <w:pStyle w:val="Standard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Achieving</w:t>
            </w:r>
            <w:r w:rsidRPr="00123ED5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excellen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ce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– We wished to ensure that our services are run to the highest quality.  We have self-assessed our day care against the CQC.  PP not eligible to be inspected by CQC but we did our own rating. Result was good with just a couple of areas needing improvement.  Increased the volunteering offer.  Leanne Stowell</w:t>
            </w:r>
            <w:r w:rsidR="00FE1E17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will be volunteer co-ordinator as well as support worker combining the two roles.</w:t>
            </w:r>
          </w:p>
          <w:p w14:paraId="0A0C3E3C" w14:textId="16F6D025" w:rsidR="000426C1" w:rsidRDefault="000426C1">
            <w:pPr>
              <w:pStyle w:val="Standard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  <w:p w14:paraId="159BCE2C" w14:textId="70C29C8F" w:rsidR="00951FEB" w:rsidRDefault="007C628A">
            <w:pPr>
              <w:pStyle w:val="Standard"/>
              <w:jc w:val="both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The following is a quote from a member that </w:t>
            </w:r>
            <w:r w:rsidR="00FA6338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seems particularly appropriate to share</w:t>
            </w:r>
            <w:r w:rsidR="00951FEB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:</w:t>
            </w:r>
          </w:p>
          <w:p w14:paraId="225B539B" w14:textId="24A312FD" w:rsidR="00951FEB" w:rsidRDefault="00951FEB">
            <w:pPr>
              <w:pStyle w:val="Standard"/>
              <w:jc w:val="both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</w:p>
          <w:p w14:paraId="1F1C37CC" w14:textId="05650480" w:rsidR="00951FEB" w:rsidRPr="00951FEB" w:rsidRDefault="00951FEB">
            <w:pPr>
              <w:pStyle w:val="Standard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“It is something that keeps me alive.  My accident made me feel useless.  Paul’s Place is a lifeline for me.  I now feel useful and enjoy being here”</w:t>
            </w:r>
          </w:p>
          <w:p w14:paraId="61E43247" w14:textId="31883167" w:rsidR="000426C1" w:rsidRDefault="000426C1">
            <w:pPr>
              <w:pStyle w:val="Standard"/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C1" w14:paraId="7FC2D370" w14:textId="77777777"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03D7" w14:textId="77777777" w:rsidR="000426C1" w:rsidRDefault="00446148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6.0</w:t>
            </w:r>
          </w:p>
        </w:tc>
        <w:tc>
          <w:tcPr>
            <w:tcW w:w="8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1C48" w14:textId="77777777" w:rsidR="000426C1" w:rsidRDefault="00446148">
            <w:pPr>
              <w:pStyle w:val="Standard"/>
              <w:tabs>
                <w:tab w:val="left" w:pos="360"/>
              </w:tabs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receive the Accounts for the year ended 31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2022</w:t>
            </w:r>
          </w:p>
        </w:tc>
      </w:tr>
      <w:tr w:rsidR="000426C1" w14:paraId="41A0E059" w14:textId="77777777"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755B" w14:textId="77777777" w:rsidR="000426C1" w:rsidRDefault="000426C1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260E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5DECFD" w14:textId="77777777" w:rsidR="000426C1" w:rsidRDefault="0044614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Annual accounts not completely ready for this AGM.  When ready they will be made available.  </w:t>
            </w:r>
          </w:p>
          <w:p w14:paraId="685949CC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71178A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C1" w14:paraId="1B703B5F" w14:textId="77777777"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A0A8" w14:textId="77777777" w:rsidR="000426C1" w:rsidRDefault="00446148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7.0</w:t>
            </w:r>
          </w:p>
        </w:tc>
        <w:tc>
          <w:tcPr>
            <w:tcW w:w="8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1D34" w14:textId="77777777" w:rsidR="000426C1" w:rsidRDefault="00446148">
            <w:pPr>
              <w:pStyle w:val="Standard"/>
              <w:tabs>
                <w:tab w:val="left" w:pos="360"/>
              </w:tabs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receive the Trustees’ Annual Report for the year ended 31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2022</w:t>
            </w:r>
          </w:p>
        </w:tc>
      </w:tr>
      <w:tr w:rsidR="000426C1" w14:paraId="2CBE4CD9" w14:textId="77777777"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5912" w14:textId="77777777" w:rsidR="000426C1" w:rsidRDefault="000426C1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5783" w14:textId="77777777" w:rsidR="000426C1" w:rsidRDefault="003B3FBC">
            <w:pPr>
              <w:pStyle w:val="Standard"/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per CEO report</w:t>
            </w:r>
          </w:p>
          <w:p w14:paraId="232DBD27" w14:textId="1909690A" w:rsidR="003B3FBC" w:rsidRDefault="003B3FBC">
            <w:pPr>
              <w:pStyle w:val="Standard"/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C1" w14:paraId="184D5C52" w14:textId="77777777"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E5D8" w14:textId="77777777" w:rsidR="000426C1" w:rsidRDefault="00446148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4E1D" w14:textId="77777777" w:rsidR="000426C1" w:rsidRDefault="00446148">
            <w:pPr>
              <w:pStyle w:val="Standard"/>
              <w:tabs>
                <w:tab w:val="left" w:pos="36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Appoint Francis Clark as independent examiners and accountants for 2022/23</w:t>
            </w:r>
          </w:p>
        </w:tc>
      </w:tr>
      <w:tr w:rsidR="000426C1" w14:paraId="01F152A8" w14:textId="77777777">
        <w:tc>
          <w:tcPr>
            <w:tcW w:w="1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6897" w14:textId="77777777" w:rsidR="000426C1" w:rsidRDefault="000426C1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4889" w14:textId="77777777" w:rsidR="000426C1" w:rsidRDefault="00446148">
            <w:pPr>
              <w:pStyle w:val="Standard"/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proposed to appoint Francis Clark as independent examiners and accountants for 2022/23</w:t>
            </w:r>
          </w:p>
          <w:p w14:paraId="3613AE53" w14:textId="36F3D39E" w:rsidR="000426C1" w:rsidRDefault="00446148">
            <w:pPr>
              <w:pStyle w:val="Standard"/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Proposed:</w:t>
            </w:r>
            <w:r w:rsidR="00253568">
              <w:rPr>
                <w:rFonts w:ascii="Arial" w:hAnsi="Arial" w:cs="Arial"/>
                <w:sz w:val="24"/>
                <w:szCs w:val="24"/>
              </w:rPr>
              <w:t xml:space="preserve">  Luke Jones</w:t>
            </w:r>
          </w:p>
          <w:p w14:paraId="2C13780D" w14:textId="77777777" w:rsidR="000426C1" w:rsidRDefault="00446148">
            <w:pPr>
              <w:pStyle w:val="Standard"/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Seconded:  Ben Holbrook</w:t>
            </w:r>
          </w:p>
        </w:tc>
      </w:tr>
      <w:tr w:rsidR="000426C1" w14:paraId="04E5E8F5" w14:textId="77777777">
        <w:tc>
          <w:tcPr>
            <w:tcW w:w="1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B8E5" w14:textId="77777777" w:rsidR="000426C1" w:rsidRDefault="00446148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8.0</w:t>
            </w:r>
          </w:p>
        </w:tc>
        <w:tc>
          <w:tcPr>
            <w:tcW w:w="83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F611" w14:textId="77777777" w:rsidR="000426C1" w:rsidRDefault="00446148">
            <w:pPr>
              <w:pStyle w:val="Standard"/>
              <w:tabs>
                <w:tab w:val="left" w:pos="36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Election of Trustees</w:t>
            </w:r>
          </w:p>
        </w:tc>
      </w:tr>
      <w:tr w:rsidR="000426C1" w14:paraId="5664C2CF" w14:textId="77777777"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BF5F" w14:textId="77777777" w:rsidR="000426C1" w:rsidRDefault="000426C1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541E" w14:textId="77777777" w:rsidR="000426C1" w:rsidRDefault="00446148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following Trustees have agreed to re-election to the Board: -</w:t>
            </w:r>
          </w:p>
          <w:p w14:paraId="090FA3A6" w14:textId="379B0C51" w:rsidR="000426C1" w:rsidRDefault="00011F3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is a </w:t>
            </w:r>
            <w:proofErr w:type="gramStart"/>
            <w:r w:rsidR="00446148">
              <w:rPr>
                <w:rFonts w:ascii="Arial" w:hAnsi="Arial" w:cs="Arial"/>
                <w:sz w:val="24"/>
                <w:szCs w:val="24"/>
              </w:rPr>
              <w:t>5 year</w:t>
            </w:r>
            <w:proofErr w:type="gramEnd"/>
            <w:r w:rsidR="00446148">
              <w:rPr>
                <w:rFonts w:ascii="Arial" w:hAnsi="Arial" w:cs="Arial"/>
                <w:sz w:val="24"/>
                <w:szCs w:val="24"/>
              </w:rPr>
              <w:t xml:space="preserve"> tenure for trustees effective from the creation of PP SW</w:t>
            </w:r>
          </w:p>
          <w:p w14:paraId="511E7464" w14:textId="3D0E0FC6" w:rsidR="000426C1" w:rsidRDefault="0044614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Jill Jefferies</w:t>
            </w:r>
            <w:r w:rsidR="00712500">
              <w:rPr>
                <w:rFonts w:ascii="Arial" w:hAnsi="Arial" w:cs="Arial"/>
                <w:sz w:val="24"/>
                <w:szCs w:val="24"/>
              </w:rPr>
              <w:t xml:space="preserve"> (eligible until 2023)</w:t>
            </w:r>
          </w:p>
          <w:p w14:paraId="4F728A6E" w14:textId="386587C9" w:rsidR="000426C1" w:rsidRDefault="0044614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Fackrell</w:t>
            </w:r>
            <w:r w:rsidR="00712500">
              <w:rPr>
                <w:rFonts w:ascii="Arial" w:hAnsi="Arial" w:cs="Arial"/>
                <w:sz w:val="24"/>
                <w:szCs w:val="24"/>
              </w:rPr>
              <w:t xml:space="preserve"> (eligible until </w:t>
            </w: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71250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F9EA350" w14:textId="77777777" w:rsidR="00BA66E6" w:rsidRDefault="00BA66E6" w:rsidP="00BA66E6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Howells (eligible until 2025)</w:t>
            </w:r>
          </w:p>
          <w:p w14:paraId="610FDB86" w14:textId="77777777" w:rsidR="00BA66E6" w:rsidRDefault="00BA66E6" w:rsidP="00BA66E6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Hill (eligible until 2025)</w:t>
            </w:r>
          </w:p>
          <w:p w14:paraId="78357673" w14:textId="7ECF963E" w:rsidR="000426C1" w:rsidRDefault="0044614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Gillian Sutcliffe</w:t>
            </w:r>
            <w:r w:rsidR="00130730">
              <w:rPr>
                <w:rFonts w:ascii="Arial" w:hAnsi="Arial" w:cs="Arial"/>
                <w:sz w:val="24"/>
                <w:szCs w:val="24"/>
              </w:rPr>
              <w:t xml:space="preserve"> (eligible until 2025</w:t>
            </w:r>
            <w:r w:rsidR="00E13B6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60E0779" w14:textId="2DB9697E" w:rsidR="000426C1" w:rsidRDefault="0044614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Azeem Haroon</w:t>
            </w:r>
            <w:r w:rsidR="00130730">
              <w:rPr>
                <w:rFonts w:ascii="Arial" w:hAnsi="Arial" w:cs="Arial"/>
                <w:sz w:val="24"/>
                <w:szCs w:val="24"/>
              </w:rPr>
              <w:t xml:space="preserve"> (eligible until 2025</w:t>
            </w:r>
            <w:r w:rsidR="00E13B6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34183CC" w14:textId="7A1198BD" w:rsidR="000426C1" w:rsidRDefault="0044614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 Francis</w:t>
            </w:r>
            <w:r w:rsidR="00BA66E6">
              <w:rPr>
                <w:rFonts w:ascii="Arial" w:hAnsi="Arial" w:cs="Arial"/>
                <w:sz w:val="24"/>
                <w:szCs w:val="24"/>
              </w:rPr>
              <w:t xml:space="preserve"> (eligible until</w:t>
            </w:r>
            <w:r>
              <w:rPr>
                <w:rFonts w:ascii="Arial" w:hAnsi="Arial" w:cs="Arial"/>
                <w:sz w:val="24"/>
                <w:szCs w:val="24"/>
              </w:rPr>
              <w:t xml:space="preserve"> 2026</w:t>
            </w:r>
            <w:r w:rsidR="00BA66E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36A16F5" w14:textId="399406A4" w:rsidR="000426C1" w:rsidRDefault="0044614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Nicole Beebee </w:t>
            </w:r>
            <w:r w:rsidR="00BA66E6">
              <w:rPr>
                <w:rFonts w:ascii="Arial" w:hAnsi="Arial" w:cs="Arial"/>
                <w:sz w:val="24"/>
                <w:szCs w:val="24"/>
              </w:rPr>
              <w:t xml:space="preserve">(eligible until </w:t>
            </w:r>
            <w:r>
              <w:rPr>
                <w:rFonts w:ascii="Arial" w:hAnsi="Arial" w:cs="Arial"/>
                <w:sz w:val="24"/>
                <w:szCs w:val="24"/>
              </w:rPr>
              <w:t>2026</w:t>
            </w:r>
            <w:r w:rsidR="00BA66E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7FF736B" w14:textId="52344C4D" w:rsidR="000426C1" w:rsidRDefault="000426C1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600DC0" w14:textId="33427308" w:rsidR="00011F3A" w:rsidRDefault="00011F3A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trustees have agreed to stand for re-election.</w:t>
            </w:r>
          </w:p>
          <w:p w14:paraId="4DFBB579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6DC87C" w14:textId="77777777" w:rsidR="000426C1" w:rsidRDefault="00446148">
            <w:pPr>
              <w:pStyle w:val="Standard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Vote to accept existing Trustees for re-election</w:t>
            </w:r>
          </w:p>
          <w:p w14:paraId="2AB11B9C" w14:textId="5D76B952" w:rsidR="000426C1" w:rsidRDefault="00446148">
            <w:pPr>
              <w:pStyle w:val="Standard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Proposed: </w:t>
            </w:r>
            <w:r w:rsidR="00D27D55">
              <w:rPr>
                <w:rFonts w:ascii="Arial" w:hAnsi="Arial" w:cs="Arial"/>
                <w:color w:val="000000"/>
                <w:sz w:val="24"/>
                <w:szCs w:val="24"/>
              </w:rPr>
              <w:t>Luke Jones</w:t>
            </w:r>
          </w:p>
          <w:p w14:paraId="677CEBFD" w14:textId="627A1F0F" w:rsidR="000426C1" w:rsidRDefault="00446148">
            <w:pPr>
              <w:pStyle w:val="Standard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Seconded:  Dean</w:t>
            </w:r>
            <w:r w:rsidR="00D27D5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30730">
              <w:rPr>
                <w:rFonts w:ascii="Arial" w:hAnsi="Arial" w:cs="Arial"/>
                <w:color w:val="000000"/>
                <w:sz w:val="24"/>
                <w:szCs w:val="24"/>
              </w:rPr>
              <w:t>Graham</w:t>
            </w:r>
          </w:p>
          <w:p w14:paraId="3E762B37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C1" w14:paraId="4BC0FE38" w14:textId="77777777"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5344" w14:textId="77777777" w:rsidR="000426C1" w:rsidRDefault="00446148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8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5043" w14:textId="77777777" w:rsidR="000426C1" w:rsidRDefault="00446148">
            <w:pPr>
              <w:pStyle w:val="Standard"/>
              <w:tabs>
                <w:tab w:val="left" w:pos="36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Any Other Business</w:t>
            </w:r>
          </w:p>
        </w:tc>
      </w:tr>
      <w:tr w:rsidR="000426C1" w14:paraId="61249BC3" w14:textId="77777777">
        <w:trPr>
          <w:trHeight w:val="3138"/>
        </w:trPr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8921" w14:textId="77777777" w:rsidR="000426C1" w:rsidRDefault="000426C1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2D4F" w14:textId="7FCC9BD6" w:rsidR="007C7374" w:rsidRDefault="007C737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 confirmed that the search for a new property is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ongoing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but </w:t>
            </w:r>
            <w:r w:rsidR="00FC06BC">
              <w:rPr>
                <w:rFonts w:ascii="Arial" w:hAnsi="Arial" w:cs="Arial"/>
                <w:sz w:val="24"/>
                <w:szCs w:val="24"/>
              </w:rPr>
              <w:t xml:space="preserve">the needs of the charity make this a challenging proposition. </w:t>
            </w:r>
          </w:p>
          <w:p w14:paraId="05F4C4CF" w14:textId="77777777" w:rsidR="007C7374" w:rsidRDefault="007C737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CA8837" w14:textId="6702C425" w:rsidR="000426C1" w:rsidRDefault="0025356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 advised that the search for a new CEO is ongoing.  </w:t>
            </w:r>
            <w:r w:rsidR="00FC06BC">
              <w:rPr>
                <w:rFonts w:ascii="Arial" w:hAnsi="Arial" w:cs="Arial"/>
                <w:sz w:val="24"/>
                <w:szCs w:val="24"/>
              </w:rPr>
              <w:t>A l</w:t>
            </w:r>
            <w:r>
              <w:rPr>
                <w:rFonts w:ascii="Arial" w:hAnsi="Arial" w:cs="Arial"/>
                <w:sz w:val="24"/>
                <w:szCs w:val="24"/>
              </w:rPr>
              <w:t xml:space="preserve">ist of candidates </w:t>
            </w:r>
            <w:r w:rsidR="00FC06BC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>being compiled</w:t>
            </w:r>
            <w:r w:rsidR="00FC06BC">
              <w:rPr>
                <w:rFonts w:ascii="Arial" w:hAnsi="Arial" w:cs="Arial"/>
                <w:sz w:val="24"/>
                <w:szCs w:val="24"/>
              </w:rPr>
              <w:t xml:space="preserve"> and the t</w:t>
            </w:r>
            <w:r>
              <w:rPr>
                <w:rFonts w:ascii="Arial" w:hAnsi="Arial" w:cs="Arial"/>
                <w:sz w:val="24"/>
                <w:szCs w:val="24"/>
              </w:rPr>
              <w:t>arget is to interview around September with an aim to have someone in place Dec</w:t>
            </w:r>
            <w:r w:rsidR="00FC06BC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>
              <w:rPr>
                <w:rFonts w:ascii="Arial" w:hAnsi="Arial" w:cs="Arial"/>
                <w:sz w:val="24"/>
                <w:szCs w:val="24"/>
              </w:rPr>
              <w:t>/Jan</w:t>
            </w:r>
            <w:r w:rsidR="00FC06BC">
              <w:rPr>
                <w:rFonts w:ascii="Arial" w:hAnsi="Arial" w:cs="Arial"/>
                <w:sz w:val="24"/>
                <w:szCs w:val="24"/>
              </w:rPr>
              <w:t xml:space="preserve"> 2023</w:t>
            </w:r>
            <w:r>
              <w:rPr>
                <w:rFonts w:ascii="Arial" w:hAnsi="Arial" w:cs="Arial"/>
                <w:sz w:val="24"/>
                <w:szCs w:val="24"/>
              </w:rPr>
              <w:t xml:space="preserve">.  Sarah Payne is acting CEO and finance manager in the interim.  </w:t>
            </w:r>
          </w:p>
          <w:p w14:paraId="43BBA86C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391858" w14:textId="309E7C3E" w:rsidR="000426C1" w:rsidRDefault="00251539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asked re: future of the bungalow</w:t>
            </w:r>
            <w:r w:rsidR="002B0F17">
              <w:rPr>
                <w:rFonts w:ascii="Arial" w:hAnsi="Arial" w:cs="Arial"/>
                <w:sz w:val="24"/>
                <w:szCs w:val="24"/>
              </w:rPr>
              <w:t>.  The response was that there are n</w:t>
            </w:r>
            <w:r>
              <w:rPr>
                <w:rFonts w:ascii="Arial" w:hAnsi="Arial" w:cs="Arial"/>
                <w:sz w:val="24"/>
                <w:szCs w:val="24"/>
              </w:rPr>
              <w:t xml:space="preserve">o plans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at the moment</w:t>
            </w:r>
            <w:proofErr w:type="gramEnd"/>
            <w:r w:rsidR="002B0F17">
              <w:rPr>
                <w:rFonts w:ascii="Arial" w:hAnsi="Arial" w:cs="Arial"/>
                <w:sz w:val="24"/>
                <w:szCs w:val="24"/>
              </w:rPr>
              <w:t xml:space="preserve"> to relet the empty unity.  The n</w:t>
            </w:r>
            <w:r>
              <w:rPr>
                <w:rFonts w:ascii="Arial" w:hAnsi="Arial" w:cs="Arial"/>
                <w:sz w:val="24"/>
                <w:szCs w:val="24"/>
              </w:rPr>
              <w:t>ew CEO will be responsible for any decisions on this matter.</w:t>
            </w:r>
          </w:p>
          <w:p w14:paraId="5667AB07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191B2F" w14:textId="00DBECF0" w:rsidR="000426C1" w:rsidRDefault="0044614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Goodbye and tribute to Daniel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B0F17">
              <w:rPr>
                <w:rFonts w:ascii="Arial" w:hAnsi="Arial" w:cs="Arial"/>
                <w:sz w:val="24"/>
                <w:szCs w:val="24"/>
              </w:rPr>
              <w:t xml:space="preserve">  S</w:t>
            </w:r>
            <w:r w:rsidR="00D552EB">
              <w:rPr>
                <w:rFonts w:ascii="Arial" w:hAnsi="Arial" w:cs="Arial"/>
                <w:sz w:val="24"/>
                <w:szCs w:val="24"/>
              </w:rPr>
              <w:t>H</w:t>
            </w:r>
            <w:proofErr w:type="gramEnd"/>
            <w:r w:rsidR="00D552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4800">
              <w:rPr>
                <w:rFonts w:ascii="Arial" w:hAnsi="Arial" w:cs="Arial"/>
                <w:sz w:val="24"/>
                <w:szCs w:val="24"/>
              </w:rPr>
              <w:t xml:space="preserve">paid tribute to </w:t>
            </w:r>
            <w:r w:rsidR="003A7BB5">
              <w:rPr>
                <w:rFonts w:ascii="Arial" w:hAnsi="Arial" w:cs="Arial"/>
                <w:sz w:val="24"/>
                <w:szCs w:val="24"/>
              </w:rPr>
              <w:t xml:space="preserve">the contribution that Daniel has made to Paul’s Place during his time at the charity.  Recognition was given to the fact that Paul’s Place is on a much stronger footing and </w:t>
            </w:r>
            <w:r w:rsidR="007C7374">
              <w:rPr>
                <w:rFonts w:ascii="Arial" w:hAnsi="Arial" w:cs="Arial"/>
                <w:sz w:val="24"/>
                <w:szCs w:val="24"/>
              </w:rPr>
              <w:t>thanks were extended to Daniel from everyone.</w:t>
            </w:r>
          </w:p>
          <w:p w14:paraId="7834CCA3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9B7F01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641186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00F215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53F681" w14:textId="77777777" w:rsidR="000426C1" w:rsidRDefault="000426C1">
            <w:pPr>
              <w:pStyle w:val="Standard"/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786D11" w14:textId="15BFEDE3" w:rsidR="00407A04" w:rsidRDefault="00407A04">
      <w:pPr>
        <w:pStyle w:val="Standard"/>
        <w:rPr>
          <w:rFonts w:ascii="Arial" w:hAnsi="Arial" w:cs="Arial"/>
          <w:sz w:val="24"/>
          <w:szCs w:val="24"/>
        </w:rPr>
      </w:pPr>
    </w:p>
    <w:p w14:paraId="7F15E0F9" w14:textId="77777777" w:rsidR="00407A04" w:rsidRDefault="00407A04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245AB0E" w14:textId="77777777" w:rsidR="000426C1" w:rsidRDefault="000426C1">
      <w:pPr>
        <w:pStyle w:val="Standard"/>
        <w:rPr>
          <w:rFonts w:ascii="Arial" w:hAnsi="Arial" w:cs="Arial"/>
          <w:sz w:val="24"/>
          <w:szCs w:val="24"/>
        </w:rPr>
      </w:pPr>
    </w:p>
    <w:p w14:paraId="2AFD0E3A" w14:textId="77777777" w:rsidR="000426C1" w:rsidRDefault="000426C1">
      <w:pPr>
        <w:pStyle w:val="Standard"/>
        <w:rPr>
          <w:rFonts w:ascii="Arial" w:hAnsi="Arial" w:cs="Arial"/>
          <w:sz w:val="24"/>
          <w:szCs w:val="24"/>
        </w:rPr>
      </w:pPr>
    </w:p>
    <w:p w14:paraId="491793DF" w14:textId="77777777" w:rsidR="000426C1" w:rsidRDefault="00446148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ATTENDANCE</w:t>
      </w:r>
    </w:p>
    <w:p w14:paraId="2890B2D2" w14:textId="77777777" w:rsidR="000426C1" w:rsidRDefault="000426C1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9"/>
        <w:gridCol w:w="3089"/>
        <w:gridCol w:w="3385"/>
      </w:tblGrid>
      <w:tr w:rsidR="000426C1" w14:paraId="34438EFE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EFD7" w14:textId="77777777" w:rsidR="000426C1" w:rsidRDefault="00446148">
            <w:pPr>
              <w:pStyle w:val="Standard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Trustees (6)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E4E0" w14:textId="1920D79F" w:rsidR="000426C1" w:rsidRDefault="00446148">
            <w:pPr>
              <w:pStyle w:val="Standard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Charity Members (1</w:t>
            </w:r>
            <w:r w:rsidR="00ED5C4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09B7" w14:textId="6F859069" w:rsidR="000426C1" w:rsidRDefault="00446148">
            <w:pPr>
              <w:pStyle w:val="Standard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Others (</w:t>
            </w:r>
            <w:r w:rsidR="00ED5C41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0426C1" w14:paraId="009043BA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7420" w14:textId="77777777" w:rsidR="000426C1" w:rsidRDefault="0044614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Howells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BEE6" w14:textId="28B9AC63" w:rsidR="000426C1" w:rsidRDefault="00951FEB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Chad Dacey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5E22" w14:textId="77777777" w:rsidR="000426C1" w:rsidRPr="009B693C" w:rsidRDefault="0044614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>Daniel Cheesman</w:t>
            </w:r>
          </w:p>
        </w:tc>
      </w:tr>
      <w:tr w:rsidR="000426C1" w14:paraId="53145B73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F656" w14:textId="77777777" w:rsidR="000426C1" w:rsidRDefault="0044614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Jill Jefferies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0AD2" w14:textId="09516063" w:rsidR="000426C1" w:rsidRDefault="00951FEB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Sean Francis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90DD5" w14:textId="77777777" w:rsidR="000426C1" w:rsidRPr="009B693C" w:rsidRDefault="0044614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>Elaine Snook</w:t>
            </w:r>
          </w:p>
        </w:tc>
      </w:tr>
      <w:tr w:rsidR="000426C1" w14:paraId="52518734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3806" w14:textId="77777777" w:rsidR="000426C1" w:rsidRDefault="0044614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Nicole Beebee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1194" w14:textId="4E2CEC82" w:rsidR="000426C1" w:rsidRDefault="00951FEB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Andy Gough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149D" w14:textId="66D5F871" w:rsidR="000426C1" w:rsidRP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>Ashleigh Riddell</w:t>
            </w:r>
          </w:p>
        </w:tc>
      </w:tr>
      <w:tr w:rsidR="000426C1" w14:paraId="7984E373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AA43" w14:textId="77777777" w:rsidR="000426C1" w:rsidRDefault="0044614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Gill Sutcliffe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940D" w14:textId="56C4A5BE" w:rsidR="000426C1" w:rsidRDefault="00951FEB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Durbin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863AF" w14:textId="4257FB93" w:rsidR="000426C1" w:rsidRP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>Alex Stumpp</w:t>
            </w:r>
          </w:p>
        </w:tc>
      </w:tr>
      <w:tr w:rsidR="000426C1" w14:paraId="353CB103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996D" w14:textId="77777777" w:rsidR="000426C1" w:rsidRDefault="0044614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Hill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E51B" w14:textId="5DE69063" w:rsidR="000426C1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 Jones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160D" w14:textId="61E5375C" w:rsidR="000426C1" w:rsidRP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>Sarah Stock</w:t>
            </w:r>
          </w:p>
        </w:tc>
      </w:tr>
      <w:tr w:rsidR="000426C1" w14:paraId="07062872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9415" w14:textId="6D64A2AC" w:rsidR="000426C1" w:rsidRDefault="00951FEB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Fackrell (v)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E99C" w14:textId="37D34B6C" w:rsidR="000426C1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Mann and PA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C271" w14:textId="743BB8D9" w:rsidR="000426C1" w:rsidRP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>Simon Letts</w:t>
            </w:r>
          </w:p>
        </w:tc>
      </w:tr>
      <w:tr w:rsidR="000426C1" w14:paraId="6C11AD95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4428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5627C" w14:textId="41AD13CD" w:rsidR="000426C1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 Manners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127B" w14:textId="28DA6187" w:rsidR="000426C1" w:rsidRP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 xml:space="preserve">Rich </w:t>
            </w:r>
            <w:proofErr w:type="spellStart"/>
            <w:r w:rsidRPr="009B693C">
              <w:rPr>
                <w:rFonts w:ascii="Arial" w:hAnsi="Arial" w:cs="Arial"/>
                <w:sz w:val="24"/>
                <w:szCs w:val="24"/>
              </w:rPr>
              <w:t>Chodkiewicz</w:t>
            </w:r>
            <w:proofErr w:type="spellEnd"/>
            <w:r w:rsidRPr="009B693C">
              <w:rPr>
                <w:rFonts w:ascii="Arial" w:hAnsi="Arial" w:cs="Arial"/>
                <w:sz w:val="24"/>
                <w:szCs w:val="24"/>
              </w:rPr>
              <w:t xml:space="preserve"> and PA</w:t>
            </w:r>
          </w:p>
        </w:tc>
      </w:tr>
      <w:tr w:rsidR="000426C1" w14:paraId="54DFA0F1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101B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DA10" w14:textId="4402B664" w:rsidR="000426C1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 Pointer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7433" w14:textId="3146250B" w:rsidR="000426C1" w:rsidRP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 xml:space="preserve">Leanne </w:t>
            </w:r>
            <w:proofErr w:type="spellStart"/>
            <w:r w:rsidRPr="009B693C">
              <w:rPr>
                <w:rFonts w:ascii="Arial" w:hAnsi="Arial" w:cs="Arial"/>
                <w:sz w:val="24"/>
                <w:szCs w:val="24"/>
              </w:rPr>
              <w:t>Stoell</w:t>
            </w:r>
            <w:proofErr w:type="spellEnd"/>
          </w:p>
        </w:tc>
      </w:tr>
      <w:tr w:rsidR="000426C1" w14:paraId="320BB36E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2448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92C1" w14:textId="034B00C4" w:rsidR="000426C1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Henry Sutcliffe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E396" w14:textId="02B81AB4" w:rsidR="000426C1" w:rsidRP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>Pearl Robbins</w:t>
            </w:r>
          </w:p>
        </w:tc>
      </w:tr>
      <w:tr w:rsidR="000426C1" w14:paraId="05782363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56CF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007E" w14:textId="4D6A787B" w:rsidR="000426C1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Hannah Webb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AB93" w14:textId="52024CDB" w:rsidR="000426C1" w:rsidRP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>Liz Taylor</w:t>
            </w:r>
          </w:p>
        </w:tc>
      </w:tr>
      <w:tr w:rsidR="000426C1" w14:paraId="7AD5C31D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3F8A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8247" w14:textId="1889CEA1" w:rsidR="000426C1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Plummer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9C0F" w14:textId="6E64CB37" w:rsidR="000426C1" w:rsidRP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>Joe Carter</w:t>
            </w:r>
          </w:p>
        </w:tc>
      </w:tr>
      <w:tr w:rsidR="000426C1" w14:paraId="578C0A2C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1D4D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1739" w14:textId="4A2C9A66" w:rsidR="000426C1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 Day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B01C" w14:textId="613117F9" w:rsidR="000426C1" w:rsidRP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>Clair Armstrong</w:t>
            </w:r>
          </w:p>
        </w:tc>
      </w:tr>
      <w:tr w:rsidR="000426C1" w14:paraId="1AA142F7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1852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CF90" w14:textId="756D942C" w:rsidR="000426C1" w:rsidRDefault="000426C1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B5FC" w14:textId="6AA42505" w:rsidR="000426C1" w:rsidRP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>Andy Carter</w:t>
            </w:r>
          </w:p>
        </w:tc>
      </w:tr>
      <w:tr w:rsidR="000426C1" w14:paraId="16F84979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BCF9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5BA0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C153" w14:textId="42C06B46" w:rsidR="000426C1" w:rsidRP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>Bob Wilmott</w:t>
            </w:r>
          </w:p>
        </w:tc>
      </w:tr>
      <w:tr w:rsidR="000426C1" w14:paraId="4DC51EAE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762E6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F762" w14:textId="07DA5C91" w:rsidR="000426C1" w:rsidRDefault="000426C1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3EAD" w14:textId="6667432C" w:rsidR="000426C1" w:rsidRP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>Heather Gartland</w:t>
            </w:r>
          </w:p>
        </w:tc>
      </w:tr>
      <w:tr w:rsidR="000426C1" w14:paraId="087E2DD3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DD05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9BA32" w14:textId="5F1DCE76" w:rsidR="000426C1" w:rsidRDefault="000426C1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DE8B" w14:textId="277B9EB7" w:rsidR="000426C1" w:rsidRP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>Dean Graham</w:t>
            </w:r>
          </w:p>
        </w:tc>
      </w:tr>
      <w:tr w:rsidR="000426C1" w14:paraId="5A383730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BB63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A698" w14:textId="15867004" w:rsidR="000426C1" w:rsidRDefault="000426C1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0923" w14:textId="34510141" w:rsidR="000426C1" w:rsidRP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>Tracey McCarthy</w:t>
            </w:r>
          </w:p>
        </w:tc>
      </w:tr>
      <w:tr w:rsidR="000426C1" w14:paraId="7D0E14B3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A2479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0F59" w14:textId="77777777" w:rsidR="000426C1" w:rsidRDefault="000426C1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978F" w14:textId="21AAC783" w:rsidR="000426C1" w:rsidRP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>Mikhaela Gartland</w:t>
            </w:r>
          </w:p>
        </w:tc>
      </w:tr>
      <w:tr w:rsidR="009B693C" w14:paraId="049248AC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6856" w14:textId="77777777" w:rsidR="009B693C" w:rsidRDefault="009B693C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88F0" w14:textId="77777777" w:rsid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51AD" w14:textId="391726B0" w:rsidR="009B693C" w:rsidRP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>Ben Holbrook</w:t>
            </w:r>
          </w:p>
        </w:tc>
      </w:tr>
      <w:tr w:rsidR="009B693C" w14:paraId="04A99C69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F0B9" w14:textId="77777777" w:rsidR="009B693C" w:rsidRDefault="009B693C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C7C4" w14:textId="77777777" w:rsid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8CE2" w14:textId="6FBB496F" w:rsidR="009B693C" w:rsidRP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>Paula Reece</w:t>
            </w:r>
          </w:p>
        </w:tc>
      </w:tr>
      <w:tr w:rsidR="009B693C" w14:paraId="547A026D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0DDF7" w14:textId="77777777" w:rsidR="009B693C" w:rsidRDefault="009B693C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2333" w14:textId="77777777" w:rsid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2689" w14:textId="31CE3804" w:rsidR="009B693C" w:rsidRP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>Isaac Wilde</w:t>
            </w:r>
          </w:p>
        </w:tc>
      </w:tr>
      <w:tr w:rsidR="009B693C" w14:paraId="78BAE891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A58F" w14:textId="77777777" w:rsidR="009B693C" w:rsidRDefault="009B693C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FFD8" w14:textId="77777777" w:rsid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D157" w14:textId="60FDB271" w:rsidR="009B693C" w:rsidRP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>Katy Lockett</w:t>
            </w:r>
          </w:p>
        </w:tc>
      </w:tr>
      <w:tr w:rsidR="009B693C" w14:paraId="7D307BC4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3E97" w14:textId="77777777" w:rsidR="009B693C" w:rsidRDefault="009B693C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DC49" w14:textId="77777777" w:rsid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7D30" w14:textId="05DEC8C4" w:rsidR="009B693C" w:rsidRP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>Mike Daniels (v)</w:t>
            </w:r>
          </w:p>
        </w:tc>
      </w:tr>
      <w:tr w:rsidR="009B693C" w14:paraId="7837B25A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C259" w14:textId="77777777" w:rsidR="009B693C" w:rsidRDefault="009B693C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81C9" w14:textId="77777777" w:rsid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7D15C" w14:textId="64601EC3" w:rsidR="009B693C" w:rsidRP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3C">
              <w:rPr>
                <w:rFonts w:ascii="Arial" w:hAnsi="Arial" w:cs="Arial"/>
                <w:sz w:val="24"/>
                <w:szCs w:val="24"/>
              </w:rPr>
              <w:t>Steve Daniels (v)</w:t>
            </w:r>
          </w:p>
        </w:tc>
      </w:tr>
      <w:tr w:rsidR="009B693C" w14:paraId="580CB4B6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3D2E" w14:textId="77777777" w:rsidR="009B693C" w:rsidRDefault="009B693C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F1BE" w14:textId="77777777" w:rsid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CC4F" w14:textId="77777777" w:rsidR="009B693C" w:rsidRDefault="009B693C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93C" w14:paraId="31B60CD9" w14:textId="77777777"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A29E5" w14:textId="77777777" w:rsidR="009B693C" w:rsidRDefault="009B693C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F668" w14:textId="77777777" w:rsidR="009B693C" w:rsidRDefault="009B69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D7D0" w14:textId="77777777" w:rsidR="009B693C" w:rsidRDefault="009B693C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3D095F" w14:textId="568915AD" w:rsidR="000426C1" w:rsidRDefault="000426C1" w:rsidP="009B693C">
      <w:pPr>
        <w:pStyle w:val="Standard"/>
      </w:pPr>
    </w:p>
    <w:sectPr w:rsidR="000426C1">
      <w:footerReference w:type="even" r:id="rId7"/>
      <w:footerReference w:type="default" r:id="rId8"/>
      <w:headerReference w:type="first" r:id="rId9"/>
      <w:pgSz w:w="11906" w:h="16838"/>
      <w:pgMar w:top="1008" w:right="1008" w:bottom="706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69BD" w14:textId="77777777" w:rsidR="00471D96" w:rsidRDefault="00471D96">
      <w:pPr>
        <w:spacing w:after="0" w:line="240" w:lineRule="auto"/>
      </w:pPr>
      <w:r>
        <w:separator/>
      </w:r>
    </w:p>
  </w:endnote>
  <w:endnote w:type="continuationSeparator" w:id="0">
    <w:p w14:paraId="76B944A6" w14:textId="77777777" w:rsidR="00471D96" w:rsidRDefault="0047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BC22" w14:textId="77777777" w:rsidR="00000000" w:rsidRDefault="00446148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6E11" w14:textId="77777777" w:rsidR="00000000" w:rsidRDefault="00446148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35195B6B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8164" w14:textId="77777777" w:rsidR="00471D96" w:rsidRDefault="00471D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3FF12E" w14:textId="77777777" w:rsidR="00471D96" w:rsidRDefault="0047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4E83" w14:textId="77777777" w:rsidR="00707FAB" w:rsidRDefault="00707FAB">
    <w:pPr>
      <w:pStyle w:val="Header"/>
    </w:pPr>
  </w:p>
  <w:p w14:paraId="552E44A1" w14:textId="5615FA68" w:rsidR="00707FAB" w:rsidRDefault="00707FA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70CFBE" wp14:editId="56DE9D9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16C0F71" w14:textId="2590C3C5" w:rsidR="00707FAB" w:rsidRDefault="00707FAB" w:rsidP="00707FAB">
                              <w:pPr>
                                <w:pStyle w:val="Head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Draft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70CFBE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16C0F71" w14:textId="2590C3C5" w:rsidR="00707FAB" w:rsidRDefault="00707FAB" w:rsidP="00707FAB">
                        <w:pPr>
                          <w:pStyle w:val="Head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Draft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005"/>
    <w:multiLevelType w:val="multilevel"/>
    <w:tmpl w:val="9C0E713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B33F6B"/>
    <w:multiLevelType w:val="multilevel"/>
    <w:tmpl w:val="350A294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2D120BA"/>
    <w:multiLevelType w:val="multilevel"/>
    <w:tmpl w:val="6FC203CC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4C34271"/>
    <w:multiLevelType w:val="multilevel"/>
    <w:tmpl w:val="51020962"/>
    <w:styleLink w:val="WWNum8"/>
    <w:lvl w:ilvl="0">
      <w:numFmt w:val="bullet"/>
      <w:lvlText w:val="-"/>
      <w:lvlJc w:val="left"/>
      <w:pPr>
        <w:ind w:left="4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4" w15:restartNumberingAfterBreak="0">
    <w:nsid w:val="1CDC5F8A"/>
    <w:multiLevelType w:val="multilevel"/>
    <w:tmpl w:val="E280E408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3B0618C0"/>
    <w:multiLevelType w:val="multilevel"/>
    <w:tmpl w:val="89C4A768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47A67A19"/>
    <w:multiLevelType w:val="multilevel"/>
    <w:tmpl w:val="BE0A31D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B064BB5"/>
    <w:multiLevelType w:val="multilevel"/>
    <w:tmpl w:val="3252E8FA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5B17598B"/>
    <w:multiLevelType w:val="multilevel"/>
    <w:tmpl w:val="E668C05E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F137E6"/>
    <w:multiLevelType w:val="multilevel"/>
    <w:tmpl w:val="72BAD30E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C4448B"/>
    <w:multiLevelType w:val="multilevel"/>
    <w:tmpl w:val="8312B0B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7647555C"/>
    <w:multiLevelType w:val="multilevel"/>
    <w:tmpl w:val="EA2C319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D778C8"/>
    <w:multiLevelType w:val="multilevel"/>
    <w:tmpl w:val="A32C3990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8C2F1E"/>
    <w:multiLevelType w:val="multilevel"/>
    <w:tmpl w:val="9F307ACC"/>
    <w:styleLink w:val="WWNum12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numFmt w:val="bullet"/>
      <w:lvlText w:val="•"/>
      <w:lvlJc w:val="left"/>
      <w:pPr>
        <w:ind w:left="2160" w:hanging="360"/>
      </w:pPr>
    </w:lvl>
    <w:lvl w:ilvl="3">
      <w:numFmt w:val="bullet"/>
      <w:lvlText w:val="•"/>
      <w:lvlJc w:val="left"/>
      <w:pPr>
        <w:ind w:left="2880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20" w:hanging="360"/>
      </w:pPr>
    </w:lvl>
    <w:lvl w:ilvl="6">
      <w:numFmt w:val="bullet"/>
      <w:lvlText w:val="•"/>
      <w:lvlJc w:val="left"/>
      <w:pPr>
        <w:ind w:left="5040" w:hanging="360"/>
      </w:pPr>
    </w:lvl>
    <w:lvl w:ilvl="7">
      <w:numFmt w:val="bullet"/>
      <w:lvlText w:val="•"/>
      <w:lvlJc w:val="left"/>
      <w:pPr>
        <w:ind w:left="5760" w:hanging="360"/>
      </w:pPr>
    </w:lvl>
    <w:lvl w:ilvl="8">
      <w:numFmt w:val="bullet"/>
      <w:lvlText w:val="•"/>
      <w:lvlJc w:val="left"/>
      <w:pPr>
        <w:ind w:left="6480" w:hanging="360"/>
      </w:pPr>
    </w:lvl>
  </w:abstractNum>
  <w:num w:numId="1" w16cid:durableId="2082948312">
    <w:abstractNumId w:val="11"/>
  </w:num>
  <w:num w:numId="2" w16cid:durableId="794643377">
    <w:abstractNumId w:val="7"/>
  </w:num>
  <w:num w:numId="3" w16cid:durableId="1463035952">
    <w:abstractNumId w:val="1"/>
  </w:num>
  <w:num w:numId="4" w16cid:durableId="1684015524">
    <w:abstractNumId w:val="12"/>
  </w:num>
  <w:num w:numId="5" w16cid:durableId="167989902">
    <w:abstractNumId w:val="2"/>
  </w:num>
  <w:num w:numId="6" w16cid:durableId="1080516102">
    <w:abstractNumId w:val="8"/>
  </w:num>
  <w:num w:numId="7" w16cid:durableId="971448905">
    <w:abstractNumId w:val="9"/>
  </w:num>
  <w:num w:numId="8" w16cid:durableId="511145669">
    <w:abstractNumId w:val="3"/>
  </w:num>
  <w:num w:numId="9" w16cid:durableId="39790777">
    <w:abstractNumId w:val="6"/>
  </w:num>
  <w:num w:numId="10" w16cid:durableId="1231959450">
    <w:abstractNumId w:val="0"/>
  </w:num>
  <w:num w:numId="11" w16cid:durableId="1146628048">
    <w:abstractNumId w:val="4"/>
  </w:num>
  <w:num w:numId="12" w16cid:durableId="834413881">
    <w:abstractNumId w:val="13"/>
  </w:num>
  <w:num w:numId="13" w16cid:durableId="1815294734">
    <w:abstractNumId w:val="5"/>
  </w:num>
  <w:num w:numId="14" w16cid:durableId="749831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C1"/>
    <w:rsid w:val="00011F3A"/>
    <w:rsid w:val="000426C1"/>
    <w:rsid w:val="000B2889"/>
    <w:rsid w:val="00123ED5"/>
    <w:rsid w:val="00130730"/>
    <w:rsid w:val="00177BE1"/>
    <w:rsid w:val="00251539"/>
    <w:rsid w:val="00253568"/>
    <w:rsid w:val="00265446"/>
    <w:rsid w:val="002B0F17"/>
    <w:rsid w:val="00357C5C"/>
    <w:rsid w:val="003A7BB5"/>
    <w:rsid w:val="003B3FBC"/>
    <w:rsid w:val="00407A04"/>
    <w:rsid w:val="00446148"/>
    <w:rsid w:val="00471D96"/>
    <w:rsid w:val="005B0D92"/>
    <w:rsid w:val="00707FAB"/>
    <w:rsid w:val="00712500"/>
    <w:rsid w:val="00795208"/>
    <w:rsid w:val="007A436F"/>
    <w:rsid w:val="007C628A"/>
    <w:rsid w:val="007C7374"/>
    <w:rsid w:val="00951FEB"/>
    <w:rsid w:val="00983AD1"/>
    <w:rsid w:val="009B693C"/>
    <w:rsid w:val="00AB0760"/>
    <w:rsid w:val="00AF6BC3"/>
    <w:rsid w:val="00BA66E6"/>
    <w:rsid w:val="00CC6BFC"/>
    <w:rsid w:val="00D238F4"/>
    <w:rsid w:val="00D24800"/>
    <w:rsid w:val="00D27D55"/>
    <w:rsid w:val="00D552EB"/>
    <w:rsid w:val="00DD7B6D"/>
    <w:rsid w:val="00E11E0E"/>
    <w:rsid w:val="00E13B67"/>
    <w:rsid w:val="00ED1BDA"/>
    <w:rsid w:val="00ED5C41"/>
    <w:rsid w:val="00F83283"/>
    <w:rsid w:val="00FA6338"/>
    <w:rsid w:val="00FC06BC"/>
    <w:rsid w:val="00FE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74F03"/>
  <w15:docId w15:val="{B50C6494-1D41-470A-A58E-91B95784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n-GB" w:eastAsia="en-GB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rebuchet MS" w:hAnsi="Trebuchet MS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Standard"/>
    <w:uiPriority w:val="99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NoSpacing">
    <w:name w:val="No Spacing"/>
    <w:pPr>
      <w:widowControl/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rPr>
      <w:rFonts w:ascii="Trebuchet MS" w:hAnsi="Trebuchet MS"/>
      <w:lang w:eastAsia="en-US"/>
    </w:rPr>
  </w:style>
  <w:style w:type="character" w:styleId="PageNumber">
    <w:name w:val="page number"/>
    <w:basedOn w:val="DefaultParagraphFont"/>
    <w:rPr>
      <w:rFonts w:cs="Times New Roman"/>
    </w:rPr>
  </w:style>
  <w:style w:type="character" w:customStyle="1" w:styleId="HeaderChar">
    <w:name w:val="Header Char"/>
    <w:basedOn w:val="DefaultParagraphFont"/>
    <w:uiPriority w:val="99"/>
    <w:rPr>
      <w:rFonts w:ascii="Trebuchet MS" w:hAnsi="Trebuchet MS"/>
      <w:sz w:val="22"/>
      <w:lang w:eastAsia="en-US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Elaine Snook</dc:creator>
  <cp:lastModifiedBy>Kayley Waller</cp:lastModifiedBy>
  <cp:revision>2</cp:revision>
  <cp:lastPrinted>2020-09-25T12:09:00Z</cp:lastPrinted>
  <dcterms:created xsi:type="dcterms:W3CDTF">2023-09-21T08:27:00Z</dcterms:created>
  <dcterms:modified xsi:type="dcterms:W3CDTF">2023-09-21T08:27:00Z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